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="206.60869565217388" w:lineRule="auto"/>
        <w:jc w:val="center"/>
        <w:rPr>
          <w:b w:val="1"/>
          <w:bCs w:val="1"/>
          <w:color w:val="606060"/>
          <w:sz w:val="33"/>
          <w:szCs w:val="33"/>
        </w:rPr>
      </w:pPr>
      <w:bookmarkStart w:colFirst="0" w:colLast="0" w:name="_om6vd3npsen3" w:id="0"/>
      <w:bookmarkEnd w:id="0"/>
      <w:r w:rsidDel="00000000" w:rsidR="00000000" w:rsidRPr="00000000">
        <w:rPr>
          <w:b w:val="1"/>
          <w:bCs w:val="1"/>
          <w:color w:val="606060"/>
          <w:sz w:val="33"/>
          <w:szCs w:val="33"/>
          <w:rtl w:val="0"/>
        </w:rPr>
        <w:t xml:space="preserve">Nómina Integral ISR, IMSS, INFONAVIT y Contribuciones locales (Incluye CFDI y Reforma a la Jornada Laboral)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99bf1b" w:space="15" w:sz="15" w:val="single"/>
          <w:right w:color="auto" w:space="0" w:sz="0" w:val="none"/>
        </w:pBdr>
        <w:shd w:fill="ffffff" w:val="clear"/>
        <w:spacing w:after="380" w:before="0" w:line="288" w:lineRule="auto"/>
        <w:rPr>
          <w:b w:val="1"/>
          <w:bCs w:val="1"/>
          <w:color w:val="606060"/>
          <w:sz w:val="33"/>
          <w:szCs w:val="33"/>
        </w:rPr>
      </w:pPr>
      <w:bookmarkStart w:colFirst="0" w:colLast="0" w:name="_u0joqf9qxkfx" w:id="1"/>
      <w:bookmarkEnd w:id="1"/>
      <w:r w:rsidDel="00000000" w:rsidR="00000000" w:rsidRPr="00000000">
        <w:rPr>
          <w:b w:val="1"/>
          <w:bCs w:val="1"/>
          <w:color w:val="606060"/>
          <w:sz w:val="33"/>
          <w:szCs w:val="33"/>
          <w:rtl w:val="0"/>
        </w:rPr>
        <w:t xml:space="preserve">Temario</w:t>
      </w:r>
    </w:p>
    <w:p w:rsidR="00000000" w:rsidDel="00000000" w:rsidP="00000000" w:rsidRDefault="00000000" w:rsidRPr="00000000" w14:paraId="00000004">
      <w:pPr>
        <w:shd w:fill="ffffff" w:val="clear"/>
        <w:spacing w:before="80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MARCO LEGAL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Entorno constitucional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Valor diario, mensual y anual de la UMA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Ámbito laboral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Modificaciones recientes en materia laboral</w:t>
      </w:r>
    </w:p>
    <w:p w:rsidR="00000000" w:rsidDel="00000000" w:rsidP="00000000" w:rsidRDefault="00000000" w:rsidRPr="00000000" w14:paraId="00000009">
      <w:pPr>
        <w:shd w:fill="ffffff" w:val="clear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LEY DEL IMPUESTO SOBRE LA RENTA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Ingresos por sueldos, salarios y asimilables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Ingresos gravados y exentos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Previsión social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Subsidio al empleo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Impacto de los pagos exentos en las deducciones de la empresa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CFDI de nómina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Principales consideraciones y novedades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680" w:line="360" w:lineRule="auto"/>
        <w:ind w:left="144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Como Constancia Laboral</w:t>
      </w:r>
    </w:p>
    <w:p w:rsidR="00000000" w:rsidDel="00000000" w:rsidP="00000000" w:rsidRDefault="00000000" w:rsidRPr="00000000" w14:paraId="00000012">
      <w:pPr>
        <w:shd w:fill="ffffff" w:val="clear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IMSS e INFONAVIT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Integración del salario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Salarios fijos, variables y mixtos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Incidencias en la determinación de cuotas obrero-patronales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Cuotas que deberán cubrir los patrones y trabajadores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Comentarios a la versión del SUA más reciente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Pronunciamiento del H. Consejo Técnico en materia de PTU pagada</w:t>
      </w:r>
    </w:p>
    <w:p w:rsidR="00000000" w:rsidDel="00000000" w:rsidP="00000000" w:rsidRDefault="00000000" w:rsidRPr="00000000" w14:paraId="00000019">
      <w:pPr>
        <w:shd w:fill="ffffff" w:val="clear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CONTRIBUCIONES LOCALES SOBRE NÓMINAS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Cuadro sinóptico del impuesto en algunos Estados de la República.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